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7B0F92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7B0F92">
        <w:rPr>
          <w:rFonts w:asciiTheme="minorHAnsi" w:hAnsiTheme="minorHAnsi"/>
          <w:sz w:val="24"/>
          <w:szCs w:val="24"/>
        </w:rPr>
        <w:t>Karta modułu/przedmiotu</w:t>
      </w:r>
    </w:p>
    <w:p w:rsidR="002E1B9A" w:rsidRPr="007B0F92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7B0F92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7B0F92" w:rsidRDefault="002E1B9A" w:rsidP="00386D8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7B0F92" w:rsidRDefault="00386D8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7B0F92" w:rsidRPr="007B0F9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7B0F92" w:rsidRPr="006E76C5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7B0F92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7B0F92" w:rsidRDefault="002E1B9A" w:rsidP="00386D8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386D82" w:rsidRPr="007B0F92" w:rsidRDefault="002E1B9A" w:rsidP="00386D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386D82" w:rsidRPr="007B0F92">
              <w:rPr>
                <w:rFonts w:asciiTheme="minorHAnsi" w:hAnsiTheme="minorHAnsi"/>
                <w:b/>
                <w:sz w:val="24"/>
                <w:szCs w:val="24"/>
              </w:rPr>
              <w:t>Przedmiot do wyboru I</w:t>
            </w:r>
          </w:p>
          <w:p w:rsidR="002E1B9A" w:rsidRPr="007B0F92" w:rsidRDefault="00386D82" w:rsidP="00386D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 xml:space="preserve">Podstawy modelowania i programowania robotów stacjonarnych i mobilnych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7B0F92" w:rsidRPr="007B0F92">
              <w:rPr>
                <w:rFonts w:asciiTheme="minorHAnsi" w:hAnsiTheme="minorHAnsi"/>
                <w:sz w:val="24"/>
                <w:szCs w:val="24"/>
              </w:rPr>
              <w:t xml:space="preserve"> PBD-M11, GKM-M12</w:t>
            </w:r>
          </w:p>
        </w:tc>
      </w:tr>
      <w:tr w:rsidR="002E1B9A" w:rsidRPr="007B0F92" w:rsidTr="00AA4E25">
        <w:trPr>
          <w:cantSplit/>
        </w:trPr>
        <w:tc>
          <w:tcPr>
            <w:tcW w:w="497" w:type="dxa"/>
            <w:vMerge/>
          </w:tcPr>
          <w:p w:rsidR="002E1B9A" w:rsidRPr="007B0F92" w:rsidRDefault="002E1B9A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7B0F9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7B0F92" w:rsidTr="00C9183B">
        <w:trPr>
          <w:cantSplit/>
        </w:trPr>
        <w:tc>
          <w:tcPr>
            <w:tcW w:w="497" w:type="dxa"/>
            <w:vMerge/>
          </w:tcPr>
          <w:p w:rsidR="002E1B9A" w:rsidRPr="007B0F92" w:rsidRDefault="002E1B9A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7B0F92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7B0F9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7B0F92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7B0F92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7B0F92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7B0F92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7B0F92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7B0F92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7B0F92" w:rsidTr="00AA4E25">
        <w:trPr>
          <w:cantSplit/>
        </w:trPr>
        <w:tc>
          <w:tcPr>
            <w:tcW w:w="497" w:type="dxa"/>
            <w:vMerge/>
          </w:tcPr>
          <w:p w:rsidR="002E1B9A" w:rsidRPr="007B0F92" w:rsidRDefault="002E1B9A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7B0F92" w:rsidRDefault="00AB1D18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7B0F9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7B0F92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7B0F9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7B0F92" w:rsidTr="00AA4E25">
        <w:trPr>
          <w:cantSplit/>
        </w:trPr>
        <w:tc>
          <w:tcPr>
            <w:tcW w:w="497" w:type="dxa"/>
            <w:vMerge/>
          </w:tcPr>
          <w:p w:rsidR="002E1B9A" w:rsidRPr="007B0F92" w:rsidRDefault="002E1B9A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7B0F92" w:rsidRDefault="00386D8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7B0F92" w:rsidRDefault="00386D8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7B0F9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7B0F92" w:rsidTr="006D7E25">
        <w:trPr>
          <w:cantSplit/>
        </w:trPr>
        <w:tc>
          <w:tcPr>
            <w:tcW w:w="497" w:type="dxa"/>
            <w:vMerge/>
          </w:tcPr>
          <w:p w:rsidR="002E1B9A" w:rsidRPr="007B0F92" w:rsidRDefault="002E1B9A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7B0F92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7B0F9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7B0F9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7B0F9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7B0F9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7B0F9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7B0F9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7B0F92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7B0F92" w:rsidTr="006D7E25">
        <w:trPr>
          <w:cantSplit/>
        </w:trPr>
        <w:tc>
          <w:tcPr>
            <w:tcW w:w="497" w:type="dxa"/>
            <w:vMerge/>
          </w:tcPr>
          <w:p w:rsidR="002E1B9A" w:rsidRPr="007B0F92" w:rsidRDefault="002E1B9A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7B0F92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7B0F92" w:rsidRDefault="00386D82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7B0F92" w:rsidRDefault="00386D82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7B0F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B0F92" w:rsidRPr="007B0F92" w:rsidTr="00386D8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B0F92" w:rsidRPr="007B0F92" w:rsidRDefault="007B0F9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</w:p>
        </w:tc>
      </w:tr>
      <w:tr w:rsidR="007B0F92" w:rsidRPr="007B0F92" w:rsidTr="00386D82">
        <w:trPr>
          <w:trHeight w:val="640"/>
        </w:trPr>
        <w:tc>
          <w:tcPr>
            <w:tcW w:w="2988" w:type="dxa"/>
            <w:vAlign w:val="center"/>
          </w:tcPr>
          <w:p w:rsidR="007B0F92" w:rsidRPr="007B0F92" w:rsidRDefault="007B0F9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</w:p>
        </w:tc>
      </w:tr>
      <w:tr w:rsidR="00386D82" w:rsidRPr="007B0F92" w:rsidTr="00386D82">
        <w:tc>
          <w:tcPr>
            <w:tcW w:w="2988" w:type="dxa"/>
            <w:vAlign w:val="center"/>
          </w:tcPr>
          <w:p w:rsidR="00386D82" w:rsidRPr="007B0F92" w:rsidRDefault="00386D82" w:rsidP="00386D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Przedstawienie podstawowych pojęć z zakresu robotyki, a w szczególności: budowy, klasyfikacji i modelowania robotów stacjonarnych i mobilnych oraz metod ich programowania.</w:t>
            </w:r>
          </w:p>
          <w:p w:rsidR="00386D82" w:rsidRPr="007B0F92" w:rsidRDefault="00386D82" w:rsidP="00386D82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Nauczenie budowy, programowania oraz badania charakterystyk robotów stacjonarnych i mobilnych. </w:t>
            </w:r>
          </w:p>
        </w:tc>
      </w:tr>
      <w:tr w:rsidR="00386D82" w:rsidRPr="007B0F92" w:rsidTr="00386D8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86D82" w:rsidRPr="007B0F92" w:rsidRDefault="00386D82" w:rsidP="00386D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86D82" w:rsidRPr="007B0F92" w:rsidRDefault="00386D82" w:rsidP="00386D82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Podstawy matematyki dyskretnej, algorytmy i struktury danych, podstawy programowania</w:t>
            </w:r>
          </w:p>
        </w:tc>
      </w:tr>
    </w:tbl>
    <w:p w:rsidR="002E1B9A" w:rsidRPr="007B0F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229"/>
        <w:gridCol w:w="1678"/>
      </w:tblGrid>
      <w:tr w:rsidR="002E1B9A" w:rsidRPr="007B0F92" w:rsidTr="00386D8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7B0F92" w:rsidTr="00E00CB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7B0F92" w:rsidTr="00E00CB6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B0F92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7B0F92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B0F9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F9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ma wiedzę ogólną z zakresu klasyfikacji i modelowania robotów stacjonarnych i mobilnych,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F92" w:rsidRPr="007B0F92" w:rsidRDefault="007B0F92" w:rsidP="007B0F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K_W15</w:t>
            </w:r>
          </w:p>
        </w:tc>
      </w:tr>
      <w:tr w:rsidR="007B0F9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F9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ma wiedzę ogólną z zakresu metod programowania robotów stacjonarnych i mobilnych,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F92" w:rsidRPr="007B0F92" w:rsidRDefault="007B0F92" w:rsidP="007B0F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K_W06, K_W15</w:t>
            </w:r>
          </w:p>
        </w:tc>
      </w:tr>
      <w:tr w:rsidR="007B0F9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F9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ma wiedzę ogólną z zakresu elektroniki i automatyki, niezbędną do zrozumienia zasad funkcjonowania robotów stacjonarnych i mobilnych.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F92" w:rsidRPr="007B0F92" w:rsidRDefault="007B0F92" w:rsidP="007B0F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K_W03, K_W10</w:t>
            </w:r>
          </w:p>
        </w:tc>
      </w:tr>
      <w:tr w:rsidR="002E1B9A" w:rsidRPr="007B0F92" w:rsidTr="00E00CB6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B0F92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86D8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D8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projektuje, buduje, uruchamia i testuje zgodnie z założoną specyfikacją robot stacjonarny i mobilny,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K_U21, K_U22</w:t>
            </w:r>
          </w:p>
        </w:tc>
      </w:tr>
      <w:tr w:rsidR="00386D8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D8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wykorzystuje poznane metody programowania oraz symulacje komputerowe do zdefiniowania, rozwiązywania oraz oceny prostych zadań związanych z robotyką,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D82" w:rsidRPr="007B0F92" w:rsidRDefault="00386D82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K_U07, K_U15, K_U16</w:t>
            </w:r>
          </w:p>
        </w:tc>
      </w:tr>
      <w:tr w:rsidR="00386D8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D8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projektuje, analizuje pod kątem poprawności oraz programuje algorytmy sterujące robotami stacjonarnymi i mobilnymi.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D82" w:rsidRPr="007B0F92" w:rsidRDefault="00386D82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K_U13, K_U17</w:t>
            </w:r>
          </w:p>
        </w:tc>
      </w:tr>
      <w:tr w:rsidR="00386D8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D8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rozumie potrzebę i zna możliwości ciągłego dokształcania w zakresie rozwijającej się robotyki, co prowadzi do podnoszenia kompetencji zawodowych, osobistych i społecznych,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D82" w:rsidRPr="007B0F92" w:rsidRDefault="00386D82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386D8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D8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ma świadomość odpowiedzialności za pracę własną i gotowość podporządkowania się zasadom pracy w zespole,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D82" w:rsidRPr="007B0F92" w:rsidRDefault="00386D82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7B0F92" w:rsidTr="00E00CB6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B0F92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7B0F9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86D8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D8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ma świadomość roli społecznej absolwenta uczelni technicznej.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D82" w:rsidRPr="007B0F92" w:rsidRDefault="00386D82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K_K06, K_K03</w:t>
            </w:r>
          </w:p>
        </w:tc>
      </w:tr>
    </w:tbl>
    <w:p w:rsidR="002E1B9A" w:rsidRPr="007B0F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7B0F92" w:rsidTr="007B0F92">
        <w:tc>
          <w:tcPr>
            <w:tcW w:w="10008" w:type="dxa"/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7B0F92" w:rsidTr="007B0F92">
        <w:tc>
          <w:tcPr>
            <w:tcW w:w="10008" w:type="dxa"/>
            <w:shd w:val="pct15" w:color="auto" w:fill="FFFFFF"/>
          </w:tcPr>
          <w:p w:rsidR="002E1B9A" w:rsidRPr="007B0F92" w:rsidRDefault="002E1B9A" w:rsidP="00386D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7B0F92" w:rsidRPr="007B0F92" w:rsidTr="007B0F92">
        <w:tc>
          <w:tcPr>
            <w:tcW w:w="10008" w:type="dxa"/>
          </w:tcPr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line="240" w:lineRule="auto"/>
              <w:ind w:left="357" w:hanging="357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Podstawowe pojęcia z zakresu robotyki: historia robotyki, definicja robota, elementy składowe robota.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Klasyfikacja robotów stacjonarnych i mobilnych.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Opis położenia i orientacji robota: podstawowe pojęcia matematyczne, reprezentacje położenia i orientacji, macierz przekształcenia jednorodnego.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Podstawowe pojęcia kinematyki robotów: równania kinematyki, więzy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holonomiczne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nieholonomiczne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. </w:t>
            </w:r>
          </w:p>
          <w:p w:rsidR="007B0F92" w:rsidRPr="007B0F92" w:rsidRDefault="00A82E70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hyperlink r:id="rId7" w:history="1">
              <w:r w:rsidR="007B0F92" w:rsidRPr="007B0F92">
                <w:rPr>
                  <w:rFonts w:asciiTheme="minorHAnsi" w:eastAsia="Times New Roman" w:hAnsiTheme="minorHAnsi"/>
                  <w:sz w:val="24"/>
                  <w:szCs w:val="24"/>
                  <w:lang w:eastAsia="pl-PL"/>
                </w:rPr>
                <w:t xml:space="preserve">Notacja </w:t>
              </w:r>
              <w:proofErr w:type="spellStart"/>
              <w:r w:rsidR="007B0F92" w:rsidRPr="007B0F92">
                <w:rPr>
                  <w:rFonts w:asciiTheme="minorHAnsi" w:eastAsia="Times New Roman" w:hAnsiTheme="minorHAnsi"/>
                  <w:sz w:val="24"/>
                  <w:szCs w:val="24"/>
                  <w:lang w:eastAsia="pl-PL"/>
                </w:rPr>
                <w:t>Denavita-Hartenberga</w:t>
              </w:r>
              <w:proofErr w:type="spellEnd"/>
            </w:hyperlink>
            <w:r w:rsidR="007B0F92"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Zadanie proste kinematyki robotów.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Zadanie odwrotne kinematyki robotów.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Pojęcie jakobianu w robotyce: jakobian analityczny i geometryczny manipulatora.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Układy napędowe robotów stacjonarnych i mobilnych.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Równania ruchu robotów mobilnych: pojęcia mobilności i sterowalności robotów mobilnych.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Czujniki autonomicznych robotów mobilnych: czujniki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odometryczne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,  dotykowe, zbliżeniowe, odległości, kamery/aparaty światła widzialnego i pracujące w podczerwieni. 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Nawigacja w przypadku autonomicznych robotów mobilnych: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samolokalizacja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, planowanie ścieżki, tworzenie mapy otoczenia.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Struktury sterowania i programowania robotów: sterowanie reaktywne, behawioralne, bazujące na modelu.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Sztuczna inteligencja w robotyce.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</w:rPr>
              <w:t xml:space="preserve">Zespoły robotów: metody współpracy robotów. </w:t>
            </w:r>
          </w:p>
        </w:tc>
      </w:tr>
      <w:tr w:rsidR="007B0F92" w:rsidRPr="007B0F92" w:rsidTr="007B0F92">
        <w:tc>
          <w:tcPr>
            <w:tcW w:w="10008" w:type="dxa"/>
            <w:shd w:val="pct15" w:color="auto" w:fill="FFFFFF"/>
          </w:tcPr>
          <w:p w:rsidR="007B0F92" w:rsidRPr="007B0F92" w:rsidRDefault="007B0F92" w:rsidP="00386D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7B0F92" w:rsidRPr="007B0F92" w:rsidTr="007B0F92">
        <w:tc>
          <w:tcPr>
            <w:tcW w:w="10008" w:type="dxa"/>
          </w:tcPr>
          <w:p w:rsidR="007B0F92" w:rsidRPr="007B0F92" w:rsidRDefault="007B0F92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B0F92" w:rsidRPr="007B0F92" w:rsidTr="007B0F92">
        <w:tc>
          <w:tcPr>
            <w:tcW w:w="10008" w:type="dxa"/>
            <w:shd w:val="pct15" w:color="auto" w:fill="FFFFFF"/>
          </w:tcPr>
          <w:p w:rsidR="007B0F92" w:rsidRPr="007B0F92" w:rsidRDefault="007B0F92" w:rsidP="00386D82">
            <w:pPr>
              <w:pStyle w:val="Nagwek1"/>
              <w:rPr>
                <w:rFonts w:asciiTheme="minorHAnsi" w:hAnsiTheme="minorHAnsi"/>
                <w:szCs w:val="24"/>
              </w:rPr>
            </w:pPr>
            <w:r w:rsidRPr="007B0F92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7B0F92" w:rsidRPr="007B0F92" w:rsidTr="007B0F92">
        <w:tc>
          <w:tcPr>
            <w:tcW w:w="10008" w:type="dxa"/>
          </w:tcPr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after="100" w:afterAutospacing="1" w:line="240" w:lineRule="auto"/>
              <w:ind w:left="357" w:hanging="357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Analiza kinematyki robotów stacjonarnych: zadanie proste kinematyki robotów.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Analiza kinematyki robotów stacjonarnych: zadanie odwrotne kinematyki robotów.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Analiza kinematyki robotów mobilnych.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Nawigacja autonomicznych robotów mobilnych: przykłady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samolokalizacji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, planowania ścieżki.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Budowa robotów modułowych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Bioloid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: budowa i funkcje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mikrosterowanika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 CM-5, serwomechanizmy układu napędowego, czujniki.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Programowanie zachowań robotów stacjonarnych i mobilnych.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lastRenderedPageBreak/>
              <w:t xml:space="preserve">Programowanie ruchów robotów stacjonarnych i mobilnych.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Wykorzystanie obrazów rejestrowanych przez kamerę bezprzewodową do sterowania ruchem robota mobilnego.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Programowanie robotów mobilnych w środowiskach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WinAVR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AVRStudio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Programowanie robota mobilnego ARMS1 w trybie mini-sumo.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Programowanie robota mobilnego ARMS1 w trybie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line-follower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Programowanie robota mobilnego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qfix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 w trybie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line-follower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Metody zdalnego sterowania robotami mobilnymi.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Systemy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wielorobotowe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. Rodzaje współpracy robotów mobilnych.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</w:rPr>
              <w:t xml:space="preserve">Walki robotów.  </w:t>
            </w:r>
          </w:p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B0F92" w:rsidRPr="007B0F92" w:rsidTr="007B0F92">
        <w:tc>
          <w:tcPr>
            <w:tcW w:w="10008" w:type="dxa"/>
            <w:shd w:val="pct15" w:color="auto" w:fill="FFFFFF"/>
          </w:tcPr>
          <w:p w:rsidR="007B0F92" w:rsidRPr="007B0F92" w:rsidRDefault="007B0F92" w:rsidP="00386D82">
            <w:pPr>
              <w:pStyle w:val="Nagwek1"/>
              <w:rPr>
                <w:rFonts w:asciiTheme="minorHAnsi" w:hAnsiTheme="minorHAnsi"/>
                <w:szCs w:val="24"/>
              </w:rPr>
            </w:pPr>
            <w:r w:rsidRPr="007B0F92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7B0F92" w:rsidRPr="007B0F92" w:rsidTr="007B0F92">
        <w:tc>
          <w:tcPr>
            <w:tcW w:w="10008" w:type="dxa"/>
          </w:tcPr>
          <w:p w:rsidR="007B0F92" w:rsidRPr="007B0F92" w:rsidRDefault="007B0F92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B0F92" w:rsidRPr="007B0F92" w:rsidTr="007B0F92">
        <w:tc>
          <w:tcPr>
            <w:tcW w:w="10008" w:type="dxa"/>
            <w:shd w:val="clear" w:color="auto" w:fill="D9D9D9"/>
          </w:tcPr>
          <w:p w:rsidR="007B0F92" w:rsidRPr="007B0F92" w:rsidRDefault="007B0F92" w:rsidP="00386D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7B0F92" w:rsidRPr="007B0F92" w:rsidTr="007B0F92">
        <w:tc>
          <w:tcPr>
            <w:tcW w:w="10008" w:type="dxa"/>
          </w:tcPr>
          <w:p w:rsidR="007B0F92" w:rsidRPr="007B0F92" w:rsidRDefault="007B0F92" w:rsidP="00386D82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7B0F92" w:rsidRPr="007B0F92" w:rsidTr="007B0F92">
        <w:tc>
          <w:tcPr>
            <w:tcW w:w="10008" w:type="dxa"/>
            <w:shd w:val="clear" w:color="auto" w:fill="D9D9D9"/>
          </w:tcPr>
          <w:p w:rsidR="007B0F92" w:rsidRPr="007B0F92" w:rsidRDefault="007B0F92" w:rsidP="00386D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7B0F92" w:rsidRPr="007B0F92" w:rsidTr="007B0F92">
        <w:tc>
          <w:tcPr>
            <w:tcW w:w="10008" w:type="dxa"/>
          </w:tcPr>
          <w:p w:rsidR="007B0F92" w:rsidRPr="007B0F92" w:rsidRDefault="007B0F92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7B0F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B0F92" w:rsidRPr="007B0F92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B0F92" w:rsidRPr="007B0F92" w:rsidRDefault="007B0F92" w:rsidP="00386D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B0F92" w:rsidRPr="007B0F92" w:rsidRDefault="007B0F92" w:rsidP="007B0F9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Craig J.: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Wprowadzenie do robotyki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 xml:space="preserve">. WNT, Warszawa 1995. </w:t>
            </w:r>
          </w:p>
          <w:p w:rsidR="007B0F92" w:rsidRPr="007B0F92" w:rsidRDefault="007B0F92" w:rsidP="007B0F9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Jarzębowska E.: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Podstawy dynamiki mechanizmów i manipulatorów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>. Oficyna Wydawnicza Politechniki Warszawskiej, Warszawa 1998.</w:t>
            </w:r>
          </w:p>
          <w:p w:rsidR="007B0F92" w:rsidRPr="007B0F92" w:rsidRDefault="007B0F92" w:rsidP="007B0F9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Kozłowski K., Dutkiewicz P., Wróblewski W.: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Modelowanie i sterowanie robotów.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 xml:space="preserve"> PWN, Warszawa 2003. </w:t>
            </w:r>
          </w:p>
          <w:p w:rsidR="007B0F92" w:rsidRPr="007B0F92" w:rsidRDefault="007B0F92" w:rsidP="007B0F92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7B0F92">
              <w:rPr>
                <w:rFonts w:asciiTheme="minorHAnsi" w:hAnsiTheme="minorHAnsi"/>
                <w:sz w:val="24"/>
                <w:szCs w:val="24"/>
              </w:rPr>
              <w:t>Morecki</w:t>
            </w:r>
            <w:proofErr w:type="spellEnd"/>
            <w:r w:rsidRPr="007B0F92">
              <w:rPr>
                <w:rFonts w:asciiTheme="minorHAnsi" w:hAnsiTheme="minorHAnsi"/>
                <w:sz w:val="24"/>
                <w:szCs w:val="24"/>
              </w:rPr>
              <w:t xml:space="preserve"> A., Knapczyk J., Kędzior K.: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Teoria mechanizmów i manipulatorów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>. WNT, Warszawa 2002.</w:t>
            </w:r>
          </w:p>
          <w:p w:rsidR="007B0F92" w:rsidRPr="007B0F92" w:rsidRDefault="007B0F92" w:rsidP="007B0F92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7B0F92">
              <w:rPr>
                <w:rFonts w:asciiTheme="minorHAnsi" w:hAnsiTheme="minorHAnsi"/>
                <w:sz w:val="24"/>
                <w:szCs w:val="24"/>
              </w:rPr>
              <w:t>Morecki</w:t>
            </w:r>
            <w:proofErr w:type="spellEnd"/>
            <w:r w:rsidRPr="007B0F92">
              <w:rPr>
                <w:rFonts w:asciiTheme="minorHAnsi" w:hAnsiTheme="minorHAnsi"/>
                <w:sz w:val="24"/>
                <w:szCs w:val="24"/>
              </w:rPr>
              <w:t xml:space="preserve"> A.: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Robotyka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>. PWN, Warszawa 1987.</w:t>
            </w:r>
          </w:p>
          <w:p w:rsidR="007B0F92" w:rsidRPr="007B0F92" w:rsidRDefault="007B0F92" w:rsidP="007B0F9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M.W. </w:t>
            </w:r>
            <w:proofErr w:type="spellStart"/>
            <w:r w:rsidRPr="007B0F92">
              <w:rPr>
                <w:rFonts w:asciiTheme="minorHAnsi" w:hAnsiTheme="minorHAnsi"/>
                <w:sz w:val="24"/>
                <w:szCs w:val="24"/>
              </w:rPr>
              <w:t>Spong</w:t>
            </w:r>
            <w:proofErr w:type="spellEnd"/>
            <w:r w:rsidRPr="007B0F92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7B0F92">
              <w:rPr>
                <w:rFonts w:asciiTheme="minorHAnsi" w:hAnsiTheme="minorHAnsi"/>
                <w:sz w:val="24"/>
                <w:szCs w:val="24"/>
              </w:rPr>
              <w:t>Vidyasagar</w:t>
            </w:r>
            <w:proofErr w:type="spellEnd"/>
            <w:r w:rsidRPr="007B0F92">
              <w:rPr>
                <w:rFonts w:asciiTheme="minorHAnsi" w:hAnsiTheme="minorHAnsi"/>
                <w:sz w:val="24"/>
                <w:szCs w:val="24"/>
              </w:rPr>
              <w:t xml:space="preserve"> M.: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Dynamika i sterowanie robotów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 xml:space="preserve">. WNT, Warszawa 1997. </w:t>
            </w:r>
          </w:p>
          <w:p w:rsidR="007B0F92" w:rsidRPr="007B0F92" w:rsidRDefault="007B0F92" w:rsidP="007B0F9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7B0F92">
              <w:rPr>
                <w:rFonts w:asciiTheme="minorHAnsi" w:hAnsiTheme="minorHAnsi"/>
                <w:sz w:val="24"/>
                <w:szCs w:val="24"/>
              </w:rPr>
              <w:t>Honczarenko</w:t>
            </w:r>
            <w:proofErr w:type="spellEnd"/>
            <w:r w:rsidRPr="007B0F92">
              <w:rPr>
                <w:rFonts w:asciiTheme="minorHAnsi" w:hAnsiTheme="minorHAnsi"/>
                <w:sz w:val="24"/>
                <w:szCs w:val="24"/>
              </w:rPr>
              <w:t xml:space="preserve"> J.: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Roboty przemysłowe: budowa i zastosowanie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 xml:space="preserve">. WNT, Warszawa 2004. </w:t>
            </w:r>
          </w:p>
          <w:p w:rsidR="007B0F92" w:rsidRPr="007B0F92" w:rsidRDefault="007B0F92" w:rsidP="007B0F9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Zielińska T.: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Maszyny kroczące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>. PWN, Warszawa 2003.</w:t>
            </w:r>
          </w:p>
        </w:tc>
      </w:tr>
      <w:tr w:rsidR="007B0F92" w:rsidRPr="007B0F92" w:rsidTr="00AA4E25">
        <w:tc>
          <w:tcPr>
            <w:tcW w:w="2660" w:type="dxa"/>
          </w:tcPr>
          <w:p w:rsidR="007B0F92" w:rsidRPr="007B0F92" w:rsidRDefault="007B0F92" w:rsidP="00386D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B0F92" w:rsidRPr="007B0F92" w:rsidRDefault="007B0F92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B0F92" w:rsidRPr="007B0F92" w:rsidTr="007B0F92">
        <w:tc>
          <w:tcPr>
            <w:tcW w:w="2660" w:type="dxa"/>
          </w:tcPr>
          <w:p w:rsidR="007B0F92" w:rsidRPr="007B0F92" w:rsidRDefault="007B0F92" w:rsidP="00386D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Wykład z prezentacją multimedialną.</w:t>
            </w:r>
          </w:p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Zadania praktyczne w ramach ćwiczeń laboratoryjnych.</w:t>
            </w:r>
          </w:p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Projekty realizowane w ramach ćwiczeń laboratoryjnych. </w:t>
            </w:r>
          </w:p>
        </w:tc>
      </w:tr>
    </w:tbl>
    <w:p w:rsidR="002E1B9A" w:rsidRPr="007B0F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7B0F92" w:rsidTr="00386D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7B0F92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7B0F92" w:rsidRPr="007B0F92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Realizacja zadań dotyczących budowy robotów stacjonarnych i mobilnych.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F92" w:rsidRPr="007B0F92" w:rsidRDefault="007B0F92" w:rsidP="007B0F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04, 07, 08, 09</w:t>
            </w:r>
          </w:p>
        </w:tc>
      </w:tr>
      <w:tr w:rsidR="007B0F92" w:rsidRPr="007B0F92" w:rsidTr="00AA4E25">
        <w:tc>
          <w:tcPr>
            <w:tcW w:w="8208" w:type="dxa"/>
            <w:gridSpan w:val="2"/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Realizacja zadań dotyczących programowania robotów stacjonarnych i mobilnych.</w:t>
            </w:r>
          </w:p>
        </w:tc>
        <w:tc>
          <w:tcPr>
            <w:tcW w:w="1800" w:type="dxa"/>
            <w:vAlign w:val="center"/>
          </w:tcPr>
          <w:p w:rsidR="007B0F92" w:rsidRPr="007B0F92" w:rsidRDefault="007B0F92" w:rsidP="007B0F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05, 06 </w:t>
            </w:r>
          </w:p>
        </w:tc>
      </w:tr>
      <w:tr w:rsidR="007B0F92" w:rsidRPr="007B0F92" w:rsidTr="00AA4E25">
        <w:tc>
          <w:tcPr>
            <w:tcW w:w="8208" w:type="dxa"/>
            <w:gridSpan w:val="2"/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Testy pytań zamkniętych weryfikujące wiedzę opanowaną przez studentów zarówno podczas ćwiczeń laboratoryjnych, jak i wykładów.</w:t>
            </w:r>
          </w:p>
        </w:tc>
        <w:tc>
          <w:tcPr>
            <w:tcW w:w="1800" w:type="dxa"/>
            <w:vAlign w:val="center"/>
          </w:tcPr>
          <w:p w:rsidR="007B0F92" w:rsidRPr="007B0F92" w:rsidRDefault="007B0F92" w:rsidP="007B0F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7B0F92" w:rsidRPr="007B0F92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7B0F92" w:rsidRPr="007B0F92" w:rsidRDefault="007B0F9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B0F92" w:rsidRPr="007B0F92" w:rsidRDefault="007B0F92" w:rsidP="007B0F92">
            <w:pPr>
              <w:ind w:left="16" w:firstLine="16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Warunki zaliczenia laboratorium: udział we wszystkich ćwiczeniach laboratoryjnych przewidzianych w programie zajęć, </w:t>
            </w:r>
            <w:r w:rsidRPr="007B0F92">
              <w:rPr>
                <w:rFonts w:asciiTheme="minorHAnsi" w:hAnsiTheme="minorHAnsi" w:cs="Arial Narrow"/>
                <w:sz w:val="24"/>
                <w:szCs w:val="24"/>
              </w:rPr>
              <w:t>pozytywna realizacja zadań wykonywanych w trakcie ćwiczeń, zaliczenie kolokwiów przeprowadzanych  w formie testów składających się z pytań zamkniętych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 xml:space="preserve">. W przypadku braku zaliczenia któregokolwiek kolokwium istnieje możliwość zaliczenia go w ramach kolokwium poprawkowego. Zadania dotyczące budowy i programowanie robotów stanowią kolejne etapy realizacji projektów wykonywanych przez wieloosobowe zespoły studentów. </w:t>
            </w:r>
          </w:p>
          <w:p w:rsidR="007B0F92" w:rsidRPr="007B0F92" w:rsidRDefault="007B0F92" w:rsidP="007B0F92">
            <w:pPr>
              <w:ind w:left="34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Warunki zaliczenia przedmiotu: zaliczenie laboratorium, pozytywny wynik kolokwium przeprowadzonego w ramach wykładów. Kolokwium przeprowadzane w trakcie wykładów składa się z testu pytań zamkniętych. W przypadku zaliczenia laboratorium na ocenę co najmniej 4.0 (dobry) przewiduje się możliwość zwolnienie studenta z kolokwium przeprowadzanego na wykładzie. Wówczas o wyniku zaliczenia przedmiotu decyduje zaliczenie laboratorium. </w:t>
            </w:r>
          </w:p>
          <w:p w:rsidR="007B0F92" w:rsidRPr="007B0F92" w:rsidRDefault="007B0F92" w:rsidP="007B0F92">
            <w:pPr>
              <w:pStyle w:val="Tekstpodstawowywcity2"/>
              <w:spacing w:after="0" w:line="240" w:lineRule="auto"/>
              <w:ind w:left="34"/>
              <w:rPr>
                <w:rFonts w:asciiTheme="minorHAnsi" w:hAnsiTheme="minorHAnsi" w:cs="Arial Narrow"/>
              </w:rPr>
            </w:pPr>
            <w:r w:rsidRPr="007B0F92">
              <w:rPr>
                <w:rFonts w:asciiTheme="minorHAnsi" w:hAnsiTheme="minorHAnsi" w:cs="Arial Narrow"/>
              </w:rPr>
              <w:t>Ocena zaliczenia ćwiczeń laboratoryjnych stanowi 60% oceny końcowej.</w:t>
            </w:r>
          </w:p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 w:cs="Arial Narrow"/>
                <w:sz w:val="24"/>
                <w:szCs w:val="24"/>
              </w:rPr>
              <w:t>Ocena kolokwium przeprowadzonego w trakcie wykładów stanowi 40% oceny końcowej.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7B0F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7B0F92" w:rsidTr="00386D8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7B0F92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Merge/>
          </w:tcPr>
          <w:p w:rsidR="002E1B9A" w:rsidRPr="007B0F92" w:rsidRDefault="002E1B9A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7B0F92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7B0F92" w:rsidRDefault="000B67C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7B0F92" w:rsidRDefault="000B67C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7B0F92">
              <w:rPr>
                <w:rFonts w:asciiTheme="minorHAnsi" w:hAnsiTheme="minorHAnsi"/>
                <w:sz w:val="24"/>
                <w:szCs w:val="24"/>
              </w:rPr>
              <w:t>i 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7B0F92" w:rsidRDefault="000B67C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7B0F92" w:rsidRDefault="000B67C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7B0F92" w:rsidRDefault="000B67C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2E1B9A" w:rsidRPr="007B0F92" w:rsidRDefault="000B67C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7B0F92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7B0F92" w:rsidRDefault="000B67C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7B0F92" w:rsidRDefault="000B67C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7B0F92" w:rsidRDefault="000B67C0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87</w:t>
            </w:r>
          </w:p>
        </w:tc>
        <w:tc>
          <w:tcPr>
            <w:tcW w:w="2812" w:type="dxa"/>
            <w:vAlign w:val="center"/>
          </w:tcPr>
          <w:p w:rsidR="002E1B9A" w:rsidRPr="007B0F92" w:rsidRDefault="000B67C0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55</w:t>
            </w:r>
          </w:p>
        </w:tc>
      </w:tr>
      <w:tr w:rsidR="002E1B9A" w:rsidRPr="007B0F92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B0F92" w:rsidRDefault="000B67C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7B0F92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7B0F92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304D67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0B67C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  <w:p w:rsidR="00304D67" w:rsidRDefault="00304D67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bookmarkStart w:id="0" w:name="_GoBack"/>
            <w:r>
              <w:rPr>
                <w:rFonts w:asciiTheme="minorHAnsi" w:hAnsiTheme="minorHAnsi"/>
                <w:b/>
                <w:sz w:val="24"/>
                <w:szCs w:val="24"/>
              </w:rPr>
              <w:t>Automatyka, elektronika i elektrotechnika</w:t>
            </w:r>
          </w:p>
          <w:p w:rsidR="00304D67" w:rsidRPr="007B0F92" w:rsidRDefault="00304D67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  <w:bookmarkEnd w:id="0"/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Liczba punktów ECTS związana z zajęciami </w:t>
            </w:r>
            <w:r w:rsidRPr="007B0F92">
              <w:rPr>
                <w:rFonts w:asciiTheme="minorHAnsi" w:hAnsiTheme="minorHAnsi"/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B0F92" w:rsidRDefault="000B67C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1,9 ECTS</w:t>
            </w: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7B0F92" w:rsidRDefault="009E46D0" w:rsidP="009E46D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 za zajęcia</w:t>
            </w:r>
            <w:r w:rsidR="002E1B9A" w:rsidRPr="007B0F92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B0F92" w:rsidRDefault="000B67C0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  <w:r w:rsidRPr="00AE357C">
              <w:rPr>
                <w:rFonts w:asciiTheme="minorHAnsi" w:hAnsiTheme="minorHAnsi"/>
                <w:b/>
                <w:sz w:val="24"/>
                <w:szCs w:val="24"/>
              </w:rPr>
              <w:t>1,6</w:t>
            </w:r>
            <w:r w:rsidR="00AE357C" w:rsidRPr="00AE357C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7B0F92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7B0F92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7B0F92" w:rsidSect="007B0F92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D67" w:rsidRDefault="00304D67" w:rsidP="00513459">
      <w:r>
        <w:separator/>
      </w:r>
    </w:p>
  </w:endnote>
  <w:endnote w:type="continuationSeparator" w:id="0">
    <w:p w:rsidR="00304D67" w:rsidRDefault="00304D67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D67" w:rsidRDefault="00A82E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04D6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04D67" w:rsidRDefault="00304D6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D67" w:rsidRDefault="00A82E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04D6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76C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04D67" w:rsidRDefault="00304D6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D67" w:rsidRDefault="00304D67" w:rsidP="00513459">
      <w:r>
        <w:separator/>
      </w:r>
    </w:p>
  </w:footnote>
  <w:footnote w:type="continuationSeparator" w:id="0">
    <w:p w:rsidR="00304D67" w:rsidRDefault="00304D67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D67" w:rsidRDefault="00304D67" w:rsidP="00386D82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304D67" w:rsidRPr="007F763F" w:rsidRDefault="00304D67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D50BD"/>
    <w:multiLevelType w:val="multilevel"/>
    <w:tmpl w:val="71CAC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3AC3AA1"/>
    <w:multiLevelType w:val="multilevel"/>
    <w:tmpl w:val="FB28D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282AF8"/>
    <w:multiLevelType w:val="hybridMultilevel"/>
    <w:tmpl w:val="46DE2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6D82"/>
    <w:rsid w:val="000645E6"/>
    <w:rsid w:val="00097E79"/>
    <w:rsid w:val="000B67C0"/>
    <w:rsid w:val="000C72C8"/>
    <w:rsid w:val="001D78B7"/>
    <w:rsid w:val="002308D7"/>
    <w:rsid w:val="00260538"/>
    <w:rsid w:val="002822D9"/>
    <w:rsid w:val="002E1B9A"/>
    <w:rsid w:val="00304D67"/>
    <w:rsid w:val="00386D82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76730"/>
    <w:rsid w:val="006D7E25"/>
    <w:rsid w:val="006E76C5"/>
    <w:rsid w:val="00735137"/>
    <w:rsid w:val="007B0F92"/>
    <w:rsid w:val="007F0ECB"/>
    <w:rsid w:val="007F763F"/>
    <w:rsid w:val="00887F87"/>
    <w:rsid w:val="00917F9C"/>
    <w:rsid w:val="009C109D"/>
    <w:rsid w:val="009E46D0"/>
    <w:rsid w:val="00A439C1"/>
    <w:rsid w:val="00A711C0"/>
    <w:rsid w:val="00A82E70"/>
    <w:rsid w:val="00AA079E"/>
    <w:rsid w:val="00AA4E25"/>
    <w:rsid w:val="00AB1D18"/>
    <w:rsid w:val="00AE357C"/>
    <w:rsid w:val="00B66FD1"/>
    <w:rsid w:val="00C71D87"/>
    <w:rsid w:val="00C9183B"/>
    <w:rsid w:val="00CC5A9C"/>
    <w:rsid w:val="00D72111"/>
    <w:rsid w:val="00D950BF"/>
    <w:rsid w:val="00E00CB6"/>
    <w:rsid w:val="00E227ED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qFormat/>
    <w:rsid w:val="007B0F92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7B0F92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0F9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robotyka.com/teoria.php/teoria.4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resa\Desktop\Sylabus_nowy%20wz&#243;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Sylabus_nowy wzór.dotx</Template>
  <TotalTime>38</TotalTime>
  <Pages>5</Pages>
  <Words>1195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 Jurewicz-Obrzut</cp:lastModifiedBy>
  <cp:revision>6</cp:revision>
  <dcterms:created xsi:type="dcterms:W3CDTF">2019-09-17T20:48:00Z</dcterms:created>
  <dcterms:modified xsi:type="dcterms:W3CDTF">2019-09-18T15:22:00Z</dcterms:modified>
</cp:coreProperties>
</file>